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C02" w:rsidRDefault="006C1C0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85pt;margin-top:-60pt;width:480pt;height:54pt;z-index:251658240">
            <v:textbox>
              <w:txbxContent>
                <w:p w:rsidR="006C1C02" w:rsidRDefault="006C1C02" w:rsidP="008E7C33">
                  <w:pPr>
                    <w:jc w:val="center"/>
                  </w:pPr>
                  <w:r>
                    <w:t>Associazione di volontariato Angeli della Finanza</w:t>
                  </w:r>
                </w:p>
                <w:p w:rsidR="006C1C02" w:rsidRDefault="006C1C02" w:rsidP="008E7C33">
                  <w:pPr>
                    <w:jc w:val="center"/>
                  </w:pPr>
                  <w:r>
                    <w:t>In aiuto a cittadini ed imprese</w:t>
                  </w:r>
                </w:p>
              </w:txbxContent>
            </v:textbox>
          </v:shape>
        </w:pict>
      </w:r>
    </w:p>
    <w:p w:rsidR="006C1C02" w:rsidRDefault="006C1C02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A cosa bisogna fare attenzione quando si apre un conto corrente</w:t>
      </w:r>
    </w:p>
    <w:p w:rsidR="006C1C02" w:rsidRDefault="006C1C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2"/>
          <w:szCs w:val="22"/>
        </w:rPr>
      </w:pPr>
    </w:p>
    <w:p w:rsidR="006C1C02" w:rsidRDefault="006C1C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  <w:u w:val="single"/>
        </w:rPr>
        <w:t>Le condizioni del conto corrente</w:t>
      </w:r>
      <w:r>
        <w:rPr>
          <w:rFonts w:ascii="Tahoma" w:hAnsi="Tahoma" w:cs="Tahoma"/>
          <w:sz w:val="22"/>
          <w:szCs w:val="22"/>
        </w:rPr>
        <w:t>:</w:t>
      </w:r>
    </w:p>
    <w:p w:rsidR="006C1C02" w:rsidRDefault="006C1C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 tassi di interesse</w:t>
      </w:r>
      <w:r>
        <w:rPr>
          <w:rFonts w:ascii="Tahoma" w:hAnsi="Tahoma" w:cs="Tahoma"/>
          <w:sz w:val="20"/>
          <w:szCs w:val="20"/>
        </w:rPr>
        <w:t xml:space="preserve">(attivi e passivi) applicati </w:t>
      </w:r>
    </w:p>
    <w:p w:rsidR="006C1C02" w:rsidRDefault="006C1C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La frequenza della cd. capitalizzazione degli interessi</w:t>
      </w:r>
      <w:r>
        <w:rPr>
          <w:rFonts w:ascii="Tahoma" w:hAnsi="Tahoma" w:cs="Tahoma"/>
          <w:sz w:val="20"/>
          <w:szCs w:val="20"/>
        </w:rPr>
        <w:t>(trimestrale o semestrale)</w:t>
      </w:r>
    </w:p>
    <w:p w:rsidR="006C1C02" w:rsidRDefault="006C1C0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 spese e commissioni applicate</w:t>
      </w:r>
      <w:r>
        <w:rPr>
          <w:rFonts w:ascii="Tahoma" w:hAnsi="Tahoma" w:cs="Tahoma"/>
          <w:sz w:val="20"/>
          <w:szCs w:val="20"/>
        </w:rPr>
        <w:t>, quali:</w:t>
      </w:r>
    </w:p>
    <w:p w:rsidR="006C1C02" w:rsidRDefault="006C1C02">
      <w:pPr>
        <w:widowControl w:val="0"/>
        <w:autoSpaceDE w:val="0"/>
        <w:autoSpaceDN w:val="0"/>
        <w:adjustRightInd w:val="0"/>
        <w:ind w:left="42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spese di registrazione, per singola scrittura: a volte la banca offre un certo numero </w:t>
      </w:r>
      <w:r>
        <w:rPr>
          <w:rFonts w:ascii="TimesNewRomanPSMT" w:hAnsi="TimesNewRomanPSMT" w:cs="TimesNewRomanPSMT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es. 30 al trimestre - di operazioni </w:t>
      </w: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gratuite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>; oltre questo forfait, si paga un certo importo per operazione, ad es. anche fino a 1,5 euro; in altri casi la banca fa pagare un canone mensile, semestrale o annuale che include un numero illimitato o predeterminato di operazioni;</w:t>
      </w:r>
    </w:p>
    <w:p w:rsidR="006C1C02" w:rsidRDefault="006C1C02">
      <w:pPr>
        <w:widowControl w:val="0"/>
        <w:autoSpaceDE w:val="0"/>
        <w:autoSpaceDN w:val="0"/>
        <w:adjustRightInd w:val="0"/>
        <w:ind w:left="426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spese per 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esecuzione delle operazioni, es. spese per eseguire un bonifico, spese per prelevare con il bancomat o la carta di credito o per effettuare un pagamento POS, spese per eseguire il pagamento di un ordine permanente, di una domiciliazione di utenza, di una fattura, spese per 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emissione di un assegno ecc...: variano da banca a banca;</w:t>
      </w:r>
      <w:r>
        <w:rPr>
          <w:rFonts w:ascii="MS Gothic" w:eastAsia="MS Gothic" w:hAnsi="MS Gothic" w:cs="MS Gothic" w:hint="eastAsia"/>
          <w:sz w:val="20"/>
          <w:szCs w:val="20"/>
        </w:rPr>
        <w:t> </w:t>
      </w:r>
      <w:r>
        <w:rPr>
          <w:rFonts w:ascii="Tahoma" w:hAnsi="Tahoma" w:cs="Tahoma"/>
          <w:sz w:val="20"/>
          <w:szCs w:val="20"/>
        </w:rPr>
        <w:t>spese annuali della carta (pago)bancomat: vi sono banche che le fanno pagare, altre no;</w:t>
      </w:r>
      <w:r>
        <w:rPr>
          <w:rFonts w:ascii="MS Gothic" w:eastAsia="MS Gothic" w:hAnsi="MS Gothic" w:cs="MS Gothic" w:hint="eastAsia"/>
          <w:sz w:val="20"/>
          <w:szCs w:val="20"/>
        </w:rPr>
        <w:t> </w:t>
      </w:r>
      <w:r>
        <w:rPr>
          <w:rFonts w:ascii="Tahoma" w:hAnsi="Tahoma" w:cs="Tahoma"/>
          <w:sz w:val="20"/>
          <w:szCs w:val="20"/>
        </w:rPr>
        <w:t>spese di invio dell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estratto conto: 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estratto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essere richiesto a mese, a trimestre, a semestre o anche una volta all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anno;</w:t>
      </w:r>
      <w:r>
        <w:rPr>
          <w:rFonts w:ascii="MS Gothic" w:eastAsia="MS Gothic" w:hAnsi="MS Gothic" w:cs="MS Gothic" w:hint="eastAsia"/>
          <w:sz w:val="20"/>
          <w:szCs w:val="20"/>
        </w:rPr>
        <w:t> </w:t>
      </w:r>
      <w:r>
        <w:rPr>
          <w:rFonts w:ascii="Tahoma" w:hAnsi="Tahoma" w:cs="Tahoma"/>
          <w:sz w:val="20"/>
          <w:szCs w:val="20"/>
        </w:rPr>
        <w:t>spese di custodia titoli, se si possiede anche un conto titoli;</w:t>
      </w:r>
      <w:r>
        <w:rPr>
          <w:rFonts w:ascii="MS Gothic" w:eastAsia="MS Gothic" w:hAnsi="MS Gothic" w:cs="MS Gothic" w:hint="eastAsia"/>
          <w:sz w:val="20"/>
          <w:szCs w:val="20"/>
        </w:rPr>
        <w:t> </w:t>
      </w:r>
      <w:r>
        <w:rPr>
          <w:rFonts w:ascii="Tahoma" w:hAnsi="Tahoma" w:cs="Tahoma"/>
          <w:sz w:val="20"/>
          <w:szCs w:val="20"/>
        </w:rPr>
        <w:t>spese postali per invio di comunicazioni</w:t>
      </w:r>
      <w:r>
        <w:rPr>
          <w:rFonts w:ascii="MS Gothic" w:eastAsia="MS Gothic" w:hAnsi="MS Gothic" w:cs="MS Gothic" w:hint="eastAsia"/>
          <w:sz w:val="20"/>
          <w:szCs w:val="20"/>
        </w:rPr>
        <w:t> </w:t>
      </w:r>
      <w:r>
        <w:rPr>
          <w:rFonts w:ascii="Tahoma" w:hAnsi="Tahoma" w:cs="Tahoma"/>
          <w:sz w:val="20"/>
          <w:szCs w:val="20"/>
        </w:rPr>
        <w:t>spese di chiusura periodica: vengono addebitate al cliente alla fine di ciascun anno solare o di ciascun periodo intermedio in cui sia avvenuto il conteggio di interessi e spese</w:t>
      </w:r>
    </w:p>
    <w:p w:rsidR="006C1C02" w:rsidRDefault="006C1C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La commissione di massimo scoperto (trimestrale)</w:t>
      </w:r>
      <w:r>
        <w:rPr>
          <w:rFonts w:ascii="Tahoma" w:hAnsi="Tahoma" w:cs="Tahoma"/>
          <w:sz w:val="20"/>
          <w:szCs w:val="20"/>
        </w:rPr>
        <w:t>: commissione che viene addebitata dalla banca sul pi</w:t>
      </w:r>
      <w:r>
        <w:rPr>
          <w:rFonts w:ascii="TimesNewRomanPSMT" w:hAnsi="TimesNewRomanPSMT" w:cs="TimesNewRomanPSMT"/>
          <w:sz w:val="20"/>
          <w:szCs w:val="20"/>
        </w:rPr>
        <w:t>ù</w:t>
      </w:r>
      <w:r>
        <w:rPr>
          <w:rFonts w:ascii="Tahoma" w:hAnsi="Tahoma" w:cs="Tahoma"/>
          <w:sz w:val="20"/>
          <w:szCs w:val="20"/>
        </w:rPr>
        <w:t xml:space="preserve"> alto saldo debitore del periodo (conto in rosso o conto affidato) raggiunto dal cliente nel trimestre precedente. 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in genere dello 0,125% al trimestre, ma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arrivare anche fino allo 0,750%</w:t>
      </w:r>
    </w:p>
    <w:p w:rsidR="006C1C02" w:rsidRDefault="006C1C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 spese di estinzione definitiva del rapporto</w:t>
      </w:r>
      <w:r>
        <w:rPr>
          <w:rFonts w:ascii="Tahoma" w:hAnsi="Tahoma" w:cs="Tahoma"/>
          <w:sz w:val="20"/>
          <w:szCs w:val="20"/>
        </w:rPr>
        <w:t>: penale che viene fatta pagare al cliente al momento in cui questi chiude definitivamente il conto.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aggirarsi anche intorno ai 70-80 euro.</w:t>
      </w:r>
    </w:p>
    <w:p w:rsidR="006C1C02" w:rsidRDefault="006C1C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Il recupero dell</w:t>
      </w:r>
      <w:r>
        <w:rPr>
          <w:rFonts w:ascii="TimesNewRomanPSMT" w:hAnsi="TimesNewRomanPSMT" w:cs="TimesNewRomanPSMT"/>
          <w:b/>
          <w:bCs/>
          <w:sz w:val="20"/>
          <w:szCs w:val="20"/>
        </w:rPr>
        <w:t>’</w:t>
      </w:r>
      <w:r>
        <w:rPr>
          <w:rFonts w:ascii="Tahoma" w:hAnsi="Tahoma" w:cs="Tahoma"/>
          <w:b/>
          <w:bCs/>
          <w:sz w:val="20"/>
          <w:szCs w:val="20"/>
        </w:rPr>
        <w:t>imposta di bollo sull</w:t>
      </w:r>
      <w:r>
        <w:rPr>
          <w:rFonts w:ascii="TimesNewRomanPSMT" w:hAnsi="TimesNewRomanPSMT" w:cs="TimesNewRomanPSMT"/>
          <w:b/>
          <w:bCs/>
          <w:sz w:val="20"/>
          <w:szCs w:val="20"/>
        </w:rPr>
        <w:t>‘</w:t>
      </w:r>
      <w:r>
        <w:rPr>
          <w:rFonts w:ascii="Tahoma" w:hAnsi="Tahoma" w:cs="Tahoma"/>
          <w:b/>
          <w:bCs/>
          <w:sz w:val="20"/>
          <w:szCs w:val="20"/>
        </w:rPr>
        <w:t>estratto conto</w:t>
      </w:r>
      <w:r>
        <w:rPr>
          <w:rFonts w:ascii="Tahoma" w:hAnsi="Tahoma" w:cs="Tahoma"/>
          <w:sz w:val="20"/>
          <w:szCs w:val="20"/>
        </w:rPr>
        <w:t xml:space="preserve">: 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in pratica una tassa di possesso del conto. Costa euro 34,20 all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anno, importo che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anche essere suddiviso in quote trimestrali (8,55 euro a trimestre). Attenzione: il bollo si paga anche sul possesso di un conto titoli collegato!</w:t>
      </w:r>
    </w:p>
    <w:p w:rsidR="006C1C02" w:rsidRDefault="006C1C02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 giorni di valuta per tipologia di operazione</w:t>
      </w:r>
      <w:r>
        <w:rPr>
          <w:rFonts w:ascii="Tahoma" w:hAnsi="Tahoma" w:cs="Tahoma"/>
          <w:sz w:val="20"/>
          <w:szCs w:val="20"/>
        </w:rPr>
        <w:t xml:space="preserve">. Le principali riguardano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versamenti in contanti: valuta lo stesso giorno del versamento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I prelevamenti e gli addebiti di pagamento: valuta lo stesso giorno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bonifici in entrata/a credito: valuta giorno dell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accredito o altra valuta assegnata dall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 xml:space="preserve">ordinante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 bonifici in uscita/a debito: valuta lo stesso giorno di esecuzione (possibilit</w:t>
      </w:r>
      <w:r>
        <w:rPr>
          <w:rFonts w:ascii="TimesNewRomanPSMT" w:hAnsi="TimesNewRomanPSMT" w:cs="TimesNewRomanPSMT"/>
          <w:sz w:val="20"/>
          <w:szCs w:val="20"/>
        </w:rPr>
        <w:t>à</w:t>
      </w:r>
      <w:r>
        <w:rPr>
          <w:rFonts w:ascii="Tahoma" w:hAnsi="Tahoma" w:cs="Tahoma"/>
          <w:sz w:val="20"/>
          <w:szCs w:val="20"/>
        </w:rPr>
        <w:t xml:space="preserve"> per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di retrocessione da uno a pi</w:t>
      </w:r>
      <w:r>
        <w:rPr>
          <w:rFonts w:ascii="TimesNewRomanPSMT" w:hAnsi="TimesNewRomanPSMT" w:cs="TimesNewRomanPSMT"/>
          <w:sz w:val="20"/>
          <w:szCs w:val="20"/>
        </w:rPr>
        <w:t>ù</w:t>
      </w:r>
      <w:r>
        <w:rPr>
          <w:rFonts w:ascii="Tahoma" w:hAnsi="Tahoma" w:cs="Tahoma"/>
          <w:sz w:val="20"/>
          <w:szCs w:val="20"/>
        </w:rPr>
        <w:t xml:space="preserve"> giorni in caso di valuta fissa a favore del beneficiario)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Accredito di assegni circolari della stessa banca: stesso giorno del versamento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Accredito di assegni circolari di altra banca: dipende se 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 xml:space="preserve">assegno 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su </w:t>
      </w: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piazza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oppure </w:t>
      </w: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fuori piazza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(si perdono anche 6/7 giorni di valuta se 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 xml:space="preserve">assegno 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fuori piazza)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Accredito di assegni bancari tratti sulla stessa filiale: stesso giorno del versamento </w:t>
      </w:r>
    </w:p>
    <w:p w:rsidR="006C1C02" w:rsidRDefault="006C1C02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72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Accredito di assegni bancari di altra filiale o altra banca: dipende se 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 xml:space="preserve">assegno 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su </w:t>
      </w: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piazza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oppure </w:t>
      </w:r>
      <w:r>
        <w:rPr>
          <w:rFonts w:ascii="TimesNewRomanPSMT" w:hAnsi="TimesNewRomanPSMT" w:cs="TimesNewRomanPSMT"/>
          <w:sz w:val="20"/>
          <w:szCs w:val="20"/>
        </w:rPr>
        <w:t>„</w:t>
      </w:r>
      <w:r>
        <w:rPr>
          <w:rFonts w:ascii="Tahoma" w:hAnsi="Tahoma" w:cs="Tahoma"/>
          <w:sz w:val="20"/>
          <w:szCs w:val="20"/>
        </w:rPr>
        <w:t>fuori piazza</w:t>
      </w:r>
      <w:r>
        <w:rPr>
          <w:rFonts w:ascii="TimesNewRomanPSMT" w:hAnsi="TimesNewRomanPSMT" w:cs="TimesNewRomanPSMT"/>
          <w:sz w:val="20"/>
          <w:szCs w:val="20"/>
        </w:rPr>
        <w:t>“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6C1C02" w:rsidRDefault="006C1C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C1C02" w:rsidRDefault="006C1C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</w:p>
    <w:p w:rsidR="006C1C02" w:rsidRDefault="006C1C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>Le principali clausole (a volte vessatorie) del contratto di conto corrente a cui fare attenzione</w:t>
      </w:r>
      <w:r>
        <w:rPr>
          <w:rFonts w:ascii="Tahoma" w:hAnsi="Tahoma" w:cs="Tahoma"/>
          <w:sz w:val="20"/>
          <w:szCs w:val="20"/>
        </w:rPr>
        <w:t>:</w:t>
      </w:r>
    </w:p>
    <w:p w:rsidR="006C1C02" w:rsidRDefault="006C1C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 firme disgiunte</w:t>
      </w:r>
      <w:r>
        <w:rPr>
          <w:rFonts w:ascii="Tahoma" w:hAnsi="Tahoma" w:cs="Tahoma"/>
          <w:sz w:val="20"/>
          <w:szCs w:val="20"/>
        </w:rPr>
        <w:t>: in caso di cointestazione del conto a firma disgiunta ciascun cointestatario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disporre separatamente del conto, anche estinguendo il rapporto, con piena liberazione della banca anche nei confronti degli altri cointestatari.</w:t>
      </w:r>
    </w:p>
    <w:p w:rsidR="006C1C02" w:rsidRDefault="006C1C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 firme dei soggetti autorizzate dal titolare ad operare sul conto</w:t>
      </w:r>
      <w:r>
        <w:rPr>
          <w:rFonts w:ascii="Tahoma" w:hAnsi="Tahoma" w:cs="Tahoma"/>
          <w:sz w:val="20"/>
          <w:szCs w:val="20"/>
        </w:rPr>
        <w:t>: il cliente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autorizzare altri soggetti ad operare con la banca per suo conto. Bisogna accertarsi dei poteri che vengono conferiti al rappresentante o mandatario</w:t>
      </w:r>
    </w:p>
    <w:p w:rsidR="006C1C02" w:rsidRDefault="006C1C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La ritenzione </w:t>
      </w:r>
      <w:r>
        <w:rPr>
          <w:rFonts w:ascii="TimesNewRomanPSMT" w:hAnsi="TimesNewRomanPSMT" w:cs="TimesNewRomanPSMT"/>
          <w:b/>
          <w:bCs/>
          <w:sz w:val="20"/>
          <w:szCs w:val="20"/>
        </w:rPr>
        <w:t>–</w:t>
      </w:r>
      <w:r>
        <w:rPr>
          <w:rFonts w:ascii="Tahoma" w:hAnsi="Tahoma" w:cs="Tahoma"/>
          <w:b/>
          <w:bCs/>
          <w:sz w:val="20"/>
          <w:szCs w:val="20"/>
        </w:rPr>
        <w:t xml:space="preserve"> compensazione a favore della banca</w:t>
      </w:r>
      <w:r>
        <w:rPr>
          <w:rFonts w:ascii="Tahoma" w:hAnsi="Tahoma" w:cs="Tahoma"/>
          <w:sz w:val="20"/>
          <w:szCs w:val="20"/>
        </w:rPr>
        <w:t>: la banca in garanzia di qualunque suo credito verso il cliente, ha il diritto di ritenzione su tutti i titoli o valori di pertinenza del cliente che siano comunque e per qualsiasi ragione detenuti dalla banca o pervengano ad essa anche successivamente.</w:t>
      </w:r>
    </w:p>
    <w:p w:rsidR="006C1C02" w:rsidRDefault="006C1C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Il diritto di recesso a favore del cliente e della banca</w:t>
      </w:r>
      <w:r>
        <w:rPr>
          <w:rFonts w:ascii="Tahoma" w:hAnsi="Tahoma" w:cs="Tahoma"/>
          <w:sz w:val="20"/>
          <w:szCs w:val="20"/>
        </w:rPr>
        <w:t>: attenzione soprattutto al diritto di recesso che la banca riserva a s</w:t>
      </w:r>
      <w:r>
        <w:rPr>
          <w:rFonts w:ascii="TimesNewRomanPSMT" w:hAnsi="TimesNewRomanPSMT" w:cs="TimesNewRomanPSMT"/>
          <w:sz w:val="20"/>
          <w:szCs w:val="20"/>
        </w:rPr>
        <w:t>é</w:t>
      </w:r>
      <w:r>
        <w:rPr>
          <w:rFonts w:ascii="Tahoma" w:hAnsi="Tahoma" w:cs="Tahoma"/>
          <w:sz w:val="20"/>
          <w:szCs w:val="20"/>
        </w:rPr>
        <w:t xml:space="preserve"> stessa. Il recesso dal contratto provoca la chiusura del conto</w:t>
      </w:r>
    </w:p>
    <w:p w:rsidR="006C1C02" w:rsidRDefault="006C1C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</w:t>
      </w:r>
      <w:r>
        <w:rPr>
          <w:rFonts w:ascii="TimesNewRomanPSMT" w:hAnsi="TimesNewRomanPSMT" w:cs="TimesNewRomanPSMT"/>
          <w:b/>
          <w:bCs/>
          <w:sz w:val="20"/>
          <w:szCs w:val="20"/>
        </w:rPr>
        <w:t>‘</w:t>
      </w:r>
      <w:r>
        <w:rPr>
          <w:rFonts w:ascii="Tahoma" w:hAnsi="Tahoma" w:cs="Tahoma"/>
          <w:b/>
          <w:bCs/>
          <w:sz w:val="20"/>
          <w:szCs w:val="20"/>
        </w:rPr>
        <w:t>invio e l</w:t>
      </w:r>
      <w:r>
        <w:rPr>
          <w:rFonts w:ascii="TimesNewRomanPSMT" w:hAnsi="TimesNewRomanPSMT" w:cs="TimesNewRomanPSMT"/>
          <w:b/>
          <w:bCs/>
          <w:sz w:val="20"/>
          <w:szCs w:val="20"/>
        </w:rPr>
        <w:t>‘</w:t>
      </w:r>
      <w:r>
        <w:rPr>
          <w:rFonts w:ascii="Tahoma" w:hAnsi="Tahoma" w:cs="Tahoma"/>
          <w:b/>
          <w:bCs/>
          <w:sz w:val="20"/>
          <w:szCs w:val="20"/>
        </w:rPr>
        <w:t>approvazione dell</w:t>
      </w:r>
      <w:r>
        <w:rPr>
          <w:rFonts w:ascii="TimesNewRomanPSMT" w:hAnsi="TimesNewRomanPSMT" w:cs="TimesNewRomanPSMT"/>
          <w:b/>
          <w:bCs/>
          <w:sz w:val="20"/>
          <w:szCs w:val="20"/>
        </w:rPr>
        <w:t>‘</w:t>
      </w:r>
      <w:r>
        <w:rPr>
          <w:rFonts w:ascii="Tahoma" w:hAnsi="Tahoma" w:cs="Tahoma"/>
          <w:b/>
          <w:bCs/>
          <w:sz w:val="20"/>
          <w:szCs w:val="20"/>
        </w:rPr>
        <w:t>estratto conto</w:t>
      </w:r>
      <w:r>
        <w:rPr>
          <w:rFonts w:ascii="Tahoma" w:hAnsi="Tahoma" w:cs="Tahoma"/>
          <w:sz w:val="20"/>
          <w:szCs w:val="20"/>
        </w:rPr>
        <w:t xml:space="preserve">: La legge prescrive che in mancanza di opposizione scritta da parte del cliente, le risultanze contabili degli estratti conto si intendano approvate trascorsi sessanta giorni dal ricevimento. </w:t>
      </w:r>
      <w:r>
        <w:rPr>
          <w:rFonts w:ascii="MS Gothic" w:eastAsia="MS Gothic" w:hAnsi="MS Gothic" w:cs="MS Gothic" w:hint="eastAsia"/>
          <w:sz w:val="20"/>
          <w:szCs w:val="20"/>
        </w:rPr>
        <w:t> </w:t>
      </w:r>
      <w:r>
        <w:rPr>
          <w:rFonts w:ascii="Tahoma" w:hAnsi="Tahoma" w:cs="Tahoma"/>
          <w:sz w:val="20"/>
          <w:szCs w:val="20"/>
        </w:rPr>
        <w:t>Tuttavia, nel caso di errori di scritturazione o di calcolo, omissioni o duplicazioni il cliente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proporre impugnazione nel termine di 10 anni di prescrizione ordinaria dalla data di ricevimento degli estratti. Tale previsione vale anche a favore della banca.</w:t>
      </w:r>
    </w:p>
    <w:p w:rsidR="006C1C02" w:rsidRDefault="006C1C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Le comunicazioni in caso di cointestazioni</w:t>
      </w:r>
      <w:r>
        <w:rPr>
          <w:rFonts w:ascii="Tahoma" w:hAnsi="Tahoma" w:cs="Tahoma"/>
          <w:sz w:val="20"/>
          <w:szCs w:val="20"/>
        </w:rPr>
        <w:t>: in caso di cointestazioni le comunicazioni, le notifiche e 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invio di estratti conto fatti dalla banca ad uno solo dei coointestatari sono operanti a tutti gli effetti nei confronti degli altri, fatti salvi diversi specifici accordi</w:t>
      </w:r>
    </w:p>
    <w:p w:rsidR="006C1C02" w:rsidRDefault="006C1C02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Modifica unilaterale delle condizioni del conto</w:t>
      </w:r>
      <w:r>
        <w:rPr>
          <w:rFonts w:ascii="Tahoma" w:hAnsi="Tahoma" w:cs="Tahoma"/>
          <w:sz w:val="20"/>
          <w:szCs w:val="20"/>
        </w:rPr>
        <w:t>. Se si tratta di modifiche generali, le relative comunicazioni sono pubblicate sulla Gazzetta Ufficiale e presso i locali della banca. Le variazioni sono comunque comunicate individualmente al cliente alla prima occasione utile (es. con l</w:t>
      </w:r>
      <w:r>
        <w:rPr>
          <w:rFonts w:ascii="TimesNewRomanPSMT" w:hAnsi="TimesNewRomanPSMT" w:cs="TimesNewRomanPSMT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>estratto conto trimestrale). Le variazioni unilaterali sfavorevoli al cliente non possono avere effetto anteriore a quello della loro comunicazione al cliente ovvero per quelle generalizzate dalla loro pubblicazione. Il cliente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comunque chiudere il conto entro 15 giorni dalla comunicazione, senza penalit</w:t>
      </w:r>
      <w:r>
        <w:rPr>
          <w:rFonts w:ascii="TimesNewRomanPSMT" w:hAnsi="TimesNewRomanPSMT" w:cs="TimesNewRomanPSMT"/>
          <w:sz w:val="20"/>
          <w:szCs w:val="20"/>
        </w:rPr>
        <w:t>à</w:t>
      </w:r>
      <w:r>
        <w:rPr>
          <w:rFonts w:ascii="Tahoma" w:hAnsi="Tahoma" w:cs="Tahoma"/>
          <w:sz w:val="20"/>
          <w:szCs w:val="20"/>
        </w:rPr>
        <w:t xml:space="preserve"> e con diritto all</w:t>
      </w:r>
      <w:r>
        <w:rPr>
          <w:rFonts w:ascii="TimesNewRomanPSMT" w:hAnsi="TimesNewRomanPSMT" w:cs="TimesNewRomanPSMT"/>
          <w:sz w:val="20"/>
          <w:szCs w:val="20"/>
        </w:rPr>
        <w:t>’</w:t>
      </w:r>
      <w:r>
        <w:rPr>
          <w:rFonts w:ascii="Tahoma" w:hAnsi="Tahoma" w:cs="Tahoma"/>
          <w:sz w:val="20"/>
          <w:szCs w:val="20"/>
        </w:rPr>
        <w:t>applicazione delle vecchie condizioni.</w:t>
      </w:r>
      <w:r>
        <w:rPr>
          <w:rFonts w:ascii="MS Gothic" w:eastAsia="MS Gothic" w:hAnsi="MS Gothic" w:cs="MS Gothic" w:hint="eastAsia"/>
          <w:sz w:val="20"/>
          <w:szCs w:val="20"/>
        </w:rPr>
        <w:t> </w:t>
      </w:r>
    </w:p>
    <w:p w:rsidR="006C1C02" w:rsidRDefault="006C1C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0"/>
          <w:szCs w:val="20"/>
        </w:rPr>
      </w:pPr>
    </w:p>
    <w:p w:rsidR="006C1C02" w:rsidRDefault="006C1C02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Principali rischi per il cliente connessi all</w:t>
      </w:r>
      <w:r>
        <w:rPr>
          <w:rFonts w:ascii="TimesNewRomanPSMT" w:hAnsi="TimesNewRomanPSMT" w:cs="TimesNewRomanPSMT"/>
          <w:b/>
          <w:bCs/>
          <w:sz w:val="22"/>
          <w:szCs w:val="22"/>
        </w:rPr>
        <w:t>’</w:t>
      </w:r>
      <w:r>
        <w:rPr>
          <w:rFonts w:ascii="Tahoma" w:hAnsi="Tahoma" w:cs="Tahoma"/>
          <w:b/>
          <w:bCs/>
          <w:sz w:val="22"/>
          <w:szCs w:val="22"/>
        </w:rPr>
        <w:t>apertura di un conto corrente</w:t>
      </w:r>
    </w:p>
    <w:p w:rsidR="006C1C02" w:rsidRDefault="006C1C0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Variazione in senso sfavorevole delle condizioni economiche</w:t>
      </w:r>
      <w:r>
        <w:rPr>
          <w:rFonts w:ascii="Tahoma" w:hAnsi="Tahoma" w:cs="Tahoma"/>
          <w:sz w:val="20"/>
          <w:szCs w:val="20"/>
        </w:rPr>
        <w:t xml:space="preserve">(tassi di interesse </w:t>
      </w:r>
      <w:r>
        <w:rPr>
          <w:rFonts w:ascii="TimesNewRomanPSMT" w:hAnsi="TimesNewRomanPSMT" w:cs="TimesNewRomanPSMT"/>
          <w:sz w:val="20"/>
          <w:szCs w:val="20"/>
        </w:rPr>
        <w:t>–</w:t>
      </w:r>
      <w:r>
        <w:rPr>
          <w:rFonts w:ascii="Tahoma" w:hAnsi="Tahoma" w:cs="Tahoma"/>
          <w:sz w:val="20"/>
          <w:szCs w:val="20"/>
        </w:rPr>
        <w:t xml:space="preserve"> commissioni e spese del servizio)</w:t>
      </w:r>
    </w:p>
    <w:p w:rsidR="006C1C02" w:rsidRDefault="006C1C0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Accredito di assegni e altri titoli con la clausola </w:t>
      </w:r>
      <w:r>
        <w:rPr>
          <w:rFonts w:ascii="TimesNewRomanPSMT" w:hAnsi="TimesNewRomanPSMT" w:cs="TimesNewRomanPSMT"/>
          <w:b/>
          <w:bCs/>
          <w:sz w:val="20"/>
          <w:szCs w:val="20"/>
        </w:rPr>
        <w:t>„</w:t>
      </w:r>
      <w:r>
        <w:rPr>
          <w:rFonts w:ascii="Tahoma" w:hAnsi="Tahoma" w:cs="Tahoma"/>
          <w:b/>
          <w:bCs/>
          <w:sz w:val="20"/>
          <w:szCs w:val="20"/>
        </w:rPr>
        <w:t>salvo buon fine</w:t>
      </w:r>
      <w:r>
        <w:rPr>
          <w:rFonts w:ascii="TimesNewRomanPSMT" w:hAnsi="TimesNewRomanPSMT" w:cs="TimesNewRomanPSMT"/>
          <w:b/>
          <w:bCs/>
          <w:sz w:val="20"/>
          <w:szCs w:val="20"/>
        </w:rPr>
        <w:t>“</w:t>
      </w:r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in questi casi vi 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la possibilit</w:t>
      </w:r>
      <w:r>
        <w:rPr>
          <w:rFonts w:ascii="TimesNewRomanPSMT" w:hAnsi="TimesNewRomanPSMT" w:cs="TimesNewRomanPSMT"/>
          <w:sz w:val="20"/>
          <w:szCs w:val="20"/>
        </w:rPr>
        <w:t>à</w:t>
      </w:r>
      <w:r>
        <w:rPr>
          <w:rFonts w:ascii="Tahoma" w:hAnsi="Tahoma" w:cs="Tahoma"/>
          <w:sz w:val="20"/>
          <w:szCs w:val="20"/>
        </w:rPr>
        <w:t xml:space="preserve"> di non poter disporre degli importi accreditati sul conto prima della maturazione della disponibilit</w:t>
      </w:r>
      <w:r>
        <w:rPr>
          <w:rFonts w:ascii="TimesNewRomanPSMT" w:hAnsi="TimesNewRomanPSMT" w:cs="TimesNewRomanPSMT"/>
          <w:sz w:val="20"/>
          <w:szCs w:val="20"/>
        </w:rPr>
        <w:t>à</w:t>
      </w:r>
    </w:p>
    <w:p w:rsidR="006C1C02" w:rsidRDefault="006C1C0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Scoperto di valuta</w:t>
      </w:r>
      <w:r>
        <w:rPr>
          <w:rFonts w:ascii="Tahoma" w:hAnsi="Tahoma" w:cs="Tahoma"/>
          <w:sz w:val="20"/>
          <w:szCs w:val="20"/>
        </w:rPr>
        <w:t>: in caso di accredito e contestuale prelievo (se autorizzato) di somme dove la valuta per le stesse viene conteggiata con giorni di ritardo vi pu</w:t>
      </w:r>
      <w:r>
        <w:rPr>
          <w:rFonts w:ascii="TimesNewRomanPSMT" w:hAnsi="TimesNewRomanPSMT" w:cs="TimesNewRomanPSMT"/>
          <w:sz w:val="20"/>
          <w:szCs w:val="20"/>
        </w:rPr>
        <w:t>ò</w:t>
      </w:r>
      <w:r>
        <w:rPr>
          <w:rFonts w:ascii="Tahoma" w:hAnsi="Tahoma" w:cs="Tahoma"/>
          <w:sz w:val="20"/>
          <w:szCs w:val="20"/>
        </w:rPr>
        <w:t xml:space="preserve"> essere il cd. scoperto per valuta. Il cliente per i giorni fra accredito della somma e la valuta deve pagare interessi per scoperto di conto, oltre alla commissione di massimo scoperto</w:t>
      </w:r>
    </w:p>
    <w:p w:rsidR="006C1C02" w:rsidRDefault="006C1C02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360" w:hanging="360"/>
        <w:rPr>
          <w:rFonts w:ascii="TimesNewRomanPSMT" w:hAnsi="TimesNewRomanPSMT" w:cs="TimesNewRomanPSMT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Rischio di insolvenza della banca</w:t>
      </w:r>
      <w:r>
        <w:rPr>
          <w:rFonts w:ascii="Tahoma" w:hAnsi="Tahoma" w:cs="Tahoma"/>
          <w:sz w:val="20"/>
          <w:szCs w:val="20"/>
        </w:rPr>
        <w:t xml:space="preserve">. Tale rischio 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coperto, nei limiti massimi di importo di euro 103.291,38 per ciascun correntista, per effetto dell</w:t>
      </w:r>
      <w:r>
        <w:rPr>
          <w:rFonts w:ascii="TimesNewRomanPSMT" w:hAnsi="TimesNewRomanPSMT" w:cs="TimesNewRomanPSMT"/>
          <w:sz w:val="20"/>
          <w:szCs w:val="20"/>
        </w:rPr>
        <w:t>‘</w:t>
      </w:r>
      <w:r>
        <w:rPr>
          <w:rFonts w:ascii="Tahoma" w:hAnsi="Tahoma" w:cs="Tahoma"/>
          <w:sz w:val="20"/>
          <w:szCs w:val="20"/>
        </w:rPr>
        <w:t>adesione della banca al sistema di garanzia dei depositi, cio</w:t>
      </w:r>
      <w:r>
        <w:rPr>
          <w:rFonts w:ascii="TimesNewRomanPSMT" w:hAnsi="TimesNewRomanPSMT" w:cs="TimesNewRomanPSMT"/>
          <w:sz w:val="20"/>
          <w:szCs w:val="20"/>
        </w:rPr>
        <w:t>è</w:t>
      </w:r>
      <w:r>
        <w:rPr>
          <w:rFonts w:ascii="Tahoma" w:hAnsi="Tahoma" w:cs="Tahoma"/>
          <w:sz w:val="20"/>
          <w:szCs w:val="20"/>
        </w:rPr>
        <w:t xml:space="preserve"> il Fondo Interbancario di Tutela dei Depositi</w:t>
      </w:r>
    </w:p>
    <w:sectPr w:rsidR="006C1C02" w:rsidSect="006C1C02">
      <w:pgSz w:w="11900" w:h="16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8D4D08A"/>
    <w:lvl w:ilvl="0" w:tplc="F9480B32">
      <w:numFmt w:val="none"/>
      <w:lvlText w:val=""/>
      <w:lvlJc w:val="left"/>
      <w:pPr>
        <w:tabs>
          <w:tab w:val="num" w:pos="360"/>
        </w:tabs>
      </w:pPr>
    </w:lvl>
    <w:lvl w:ilvl="1" w:tplc="C97C2B20">
      <w:numFmt w:val="decimal"/>
      <w:lvlText w:val=""/>
      <w:lvlJc w:val="left"/>
    </w:lvl>
    <w:lvl w:ilvl="2" w:tplc="BA780C10">
      <w:numFmt w:val="decimal"/>
      <w:lvlText w:val=""/>
      <w:lvlJc w:val="left"/>
    </w:lvl>
    <w:lvl w:ilvl="3" w:tplc="FE129E3C">
      <w:numFmt w:val="decimal"/>
      <w:lvlText w:val=""/>
      <w:lvlJc w:val="left"/>
    </w:lvl>
    <w:lvl w:ilvl="4" w:tplc="E800E6C4">
      <w:numFmt w:val="decimal"/>
      <w:lvlText w:val=""/>
      <w:lvlJc w:val="left"/>
    </w:lvl>
    <w:lvl w:ilvl="5" w:tplc="6EBA4F60">
      <w:numFmt w:val="decimal"/>
      <w:lvlText w:val=""/>
      <w:lvlJc w:val="left"/>
    </w:lvl>
    <w:lvl w:ilvl="6" w:tplc="65643530">
      <w:numFmt w:val="decimal"/>
      <w:lvlText w:val=""/>
      <w:lvlJc w:val="left"/>
    </w:lvl>
    <w:lvl w:ilvl="7" w:tplc="BAA25522">
      <w:numFmt w:val="decimal"/>
      <w:lvlText w:val=""/>
      <w:lvlJc w:val="left"/>
    </w:lvl>
    <w:lvl w:ilvl="8" w:tplc="561CFCC0">
      <w:numFmt w:val="decimal"/>
      <w:lvlText w:val=""/>
      <w:lvlJc w:val="left"/>
    </w:lvl>
  </w:abstractNum>
  <w:abstractNum w:abstractNumId="1">
    <w:nsid w:val="00000002"/>
    <w:multiLevelType w:val="hybridMultilevel"/>
    <w:tmpl w:val="D9C04242"/>
    <w:lvl w:ilvl="0" w:tplc="5394E20E">
      <w:numFmt w:val="none"/>
      <w:lvlText w:val=""/>
      <w:lvlJc w:val="left"/>
      <w:pPr>
        <w:tabs>
          <w:tab w:val="num" w:pos="360"/>
        </w:tabs>
      </w:pPr>
    </w:lvl>
    <w:lvl w:ilvl="1" w:tplc="F0520386">
      <w:numFmt w:val="decimal"/>
      <w:lvlText w:val=""/>
      <w:lvlJc w:val="left"/>
    </w:lvl>
    <w:lvl w:ilvl="2" w:tplc="A9F24F02">
      <w:numFmt w:val="decimal"/>
      <w:lvlText w:val=""/>
      <w:lvlJc w:val="left"/>
    </w:lvl>
    <w:lvl w:ilvl="3" w:tplc="751AC3C8">
      <w:numFmt w:val="decimal"/>
      <w:lvlText w:val=""/>
      <w:lvlJc w:val="left"/>
    </w:lvl>
    <w:lvl w:ilvl="4" w:tplc="53F0ACF0">
      <w:numFmt w:val="decimal"/>
      <w:lvlText w:val=""/>
      <w:lvlJc w:val="left"/>
    </w:lvl>
    <w:lvl w:ilvl="5" w:tplc="192E4138">
      <w:numFmt w:val="decimal"/>
      <w:lvlText w:val=""/>
      <w:lvlJc w:val="left"/>
    </w:lvl>
    <w:lvl w:ilvl="6" w:tplc="8F006C46">
      <w:numFmt w:val="decimal"/>
      <w:lvlText w:val=""/>
      <w:lvlJc w:val="left"/>
    </w:lvl>
    <w:lvl w:ilvl="7" w:tplc="4F364222">
      <w:numFmt w:val="decimal"/>
      <w:lvlText w:val=""/>
      <w:lvlJc w:val="left"/>
    </w:lvl>
    <w:lvl w:ilvl="8" w:tplc="954AD782">
      <w:numFmt w:val="decimal"/>
      <w:lvlText w:val=""/>
      <w:lvlJc w:val="left"/>
    </w:lvl>
  </w:abstractNum>
  <w:abstractNum w:abstractNumId="2">
    <w:nsid w:val="00000003"/>
    <w:multiLevelType w:val="hybridMultilevel"/>
    <w:tmpl w:val="153637F2"/>
    <w:lvl w:ilvl="0" w:tplc="B0EA84B0">
      <w:numFmt w:val="none"/>
      <w:lvlText w:val=""/>
      <w:lvlJc w:val="left"/>
      <w:pPr>
        <w:tabs>
          <w:tab w:val="num" w:pos="360"/>
        </w:tabs>
      </w:pPr>
    </w:lvl>
    <w:lvl w:ilvl="1" w:tplc="C660F03A">
      <w:numFmt w:val="decimal"/>
      <w:lvlText w:val=""/>
      <w:lvlJc w:val="left"/>
    </w:lvl>
    <w:lvl w:ilvl="2" w:tplc="77B4AA58">
      <w:numFmt w:val="decimal"/>
      <w:lvlText w:val=""/>
      <w:lvlJc w:val="left"/>
    </w:lvl>
    <w:lvl w:ilvl="3" w:tplc="93C45306">
      <w:numFmt w:val="decimal"/>
      <w:lvlText w:val=""/>
      <w:lvlJc w:val="left"/>
    </w:lvl>
    <w:lvl w:ilvl="4" w:tplc="8B84B1FA">
      <w:numFmt w:val="decimal"/>
      <w:lvlText w:val=""/>
      <w:lvlJc w:val="left"/>
    </w:lvl>
    <w:lvl w:ilvl="5" w:tplc="330CAADE">
      <w:numFmt w:val="decimal"/>
      <w:lvlText w:val=""/>
      <w:lvlJc w:val="left"/>
    </w:lvl>
    <w:lvl w:ilvl="6" w:tplc="8A1E3828">
      <w:numFmt w:val="decimal"/>
      <w:lvlText w:val=""/>
      <w:lvlJc w:val="left"/>
    </w:lvl>
    <w:lvl w:ilvl="7" w:tplc="A164090A">
      <w:numFmt w:val="decimal"/>
      <w:lvlText w:val=""/>
      <w:lvlJc w:val="left"/>
    </w:lvl>
    <w:lvl w:ilvl="8" w:tplc="3476E77E">
      <w:numFmt w:val="decimal"/>
      <w:lvlText w:val=""/>
      <w:lvlJc w:val="left"/>
    </w:lvl>
  </w:abstractNum>
  <w:abstractNum w:abstractNumId="3">
    <w:nsid w:val="00000004"/>
    <w:multiLevelType w:val="hybridMultilevel"/>
    <w:tmpl w:val="6FF20260"/>
    <w:lvl w:ilvl="0" w:tplc="73003DE2">
      <w:numFmt w:val="none"/>
      <w:lvlText w:val=""/>
      <w:lvlJc w:val="left"/>
      <w:pPr>
        <w:tabs>
          <w:tab w:val="num" w:pos="360"/>
        </w:tabs>
      </w:pPr>
    </w:lvl>
    <w:lvl w:ilvl="1" w:tplc="5DDC549A">
      <w:numFmt w:val="decimal"/>
      <w:lvlText w:val=""/>
      <w:lvlJc w:val="left"/>
    </w:lvl>
    <w:lvl w:ilvl="2" w:tplc="FBDEF552">
      <w:numFmt w:val="decimal"/>
      <w:lvlText w:val=""/>
      <w:lvlJc w:val="left"/>
    </w:lvl>
    <w:lvl w:ilvl="3" w:tplc="F0244C4C">
      <w:numFmt w:val="decimal"/>
      <w:lvlText w:val=""/>
      <w:lvlJc w:val="left"/>
    </w:lvl>
    <w:lvl w:ilvl="4" w:tplc="5EC63B08">
      <w:numFmt w:val="decimal"/>
      <w:lvlText w:val=""/>
      <w:lvlJc w:val="left"/>
    </w:lvl>
    <w:lvl w:ilvl="5" w:tplc="08A88C08">
      <w:numFmt w:val="decimal"/>
      <w:lvlText w:val=""/>
      <w:lvlJc w:val="left"/>
    </w:lvl>
    <w:lvl w:ilvl="6" w:tplc="9BB28D68">
      <w:numFmt w:val="decimal"/>
      <w:lvlText w:val=""/>
      <w:lvlJc w:val="left"/>
    </w:lvl>
    <w:lvl w:ilvl="7" w:tplc="70D6620A">
      <w:numFmt w:val="decimal"/>
      <w:lvlText w:val=""/>
      <w:lvlJc w:val="left"/>
    </w:lvl>
    <w:lvl w:ilvl="8" w:tplc="832EF506">
      <w:numFmt w:val="decimal"/>
      <w:lvlText w:val=""/>
      <w:lvlJc w:val="left"/>
    </w:lvl>
  </w:abstractNum>
  <w:abstractNum w:abstractNumId="4">
    <w:nsid w:val="00000005"/>
    <w:multiLevelType w:val="hybridMultilevel"/>
    <w:tmpl w:val="8A58D85C"/>
    <w:lvl w:ilvl="0" w:tplc="F70A0598">
      <w:numFmt w:val="none"/>
      <w:lvlText w:val=""/>
      <w:lvlJc w:val="left"/>
      <w:pPr>
        <w:tabs>
          <w:tab w:val="num" w:pos="360"/>
        </w:tabs>
      </w:pPr>
    </w:lvl>
    <w:lvl w:ilvl="1" w:tplc="F0581B04">
      <w:numFmt w:val="decimal"/>
      <w:lvlText w:val=""/>
      <w:lvlJc w:val="left"/>
    </w:lvl>
    <w:lvl w:ilvl="2" w:tplc="BE34487C">
      <w:numFmt w:val="decimal"/>
      <w:lvlText w:val=""/>
      <w:lvlJc w:val="left"/>
    </w:lvl>
    <w:lvl w:ilvl="3" w:tplc="36DAA184">
      <w:numFmt w:val="decimal"/>
      <w:lvlText w:val=""/>
      <w:lvlJc w:val="left"/>
    </w:lvl>
    <w:lvl w:ilvl="4" w:tplc="BD9CA9BA">
      <w:numFmt w:val="decimal"/>
      <w:lvlText w:val=""/>
      <w:lvlJc w:val="left"/>
    </w:lvl>
    <w:lvl w:ilvl="5" w:tplc="B24EF33A">
      <w:numFmt w:val="decimal"/>
      <w:lvlText w:val=""/>
      <w:lvlJc w:val="left"/>
    </w:lvl>
    <w:lvl w:ilvl="6" w:tplc="A7365CC4">
      <w:numFmt w:val="decimal"/>
      <w:lvlText w:val=""/>
      <w:lvlJc w:val="left"/>
    </w:lvl>
    <w:lvl w:ilvl="7" w:tplc="628277D6">
      <w:numFmt w:val="decimal"/>
      <w:lvlText w:val=""/>
      <w:lvlJc w:val="left"/>
    </w:lvl>
    <w:lvl w:ilvl="8" w:tplc="B4EC6A36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7C33"/>
    <w:rsid w:val="002F6718"/>
    <w:rsid w:val="006C1C02"/>
    <w:rsid w:val="008E7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1004</Words>
  <Characters>5728</Characters>
  <Application>Microsoft Office Outlook</Application>
  <DocSecurity>0</DocSecurity>
  <Lines>0</Lines>
  <Paragraphs>0</Paragraphs>
  <ScaleCrop>false</ScaleCrop>
  <Company>Centro Tutela Consumatori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cosa bisogna fare attenzione quando si apre un conto corrente</dc:title>
  <dc:subject/>
  <dc:creator>Paolo Guerriero</dc:creator>
  <cp:keywords/>
  <dc:description/>
  <cp:lastModifiedBy>obiettivo</cp:lastModifiedBy>
  <cp:revision>2</cp:revision>
  <dcterms:created xsi:type="dcterms:W3CDTF">2014-10-05T09:47:00Z</dcterms:created>
  <dcterms:modified xsi:type="dcterms:W3CDTF">2014-10-05T09:47:00Z</dcterms:modified>
</cp:coreProperties>
</file>